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851" w:right="-851" w:hanging="0"/>
        <w:jc w:val="both"/>
        <w:rPr>
          <w:b/>
          <w:b/>
          <w:i/>
          <w:i/>
          <w:color w:val="002060"/>
        </w:rPr>
      </w:pPr>
      <w:r>
        <w:rPr>
          <w:color w:val="002060"/>
        </w:rPr>
        <w:t xml:space="preserve">Votre établissement répond à la définition </w:t>
      </w:r>
      <w:r>
        <w:rPr>
          <w:b/>
          <w:color w:val="002060"/>
        </w:rPr>
        <w:t>du débit de boissons à consommer sur place</w:t>
      </w:r>
      <w:r>
        <w:rPr>
          <w:color w:val="002060"/>
        </w:rPr>
        <w:t xml:space="preserve"> </w:t>
      </w:r>
      <w:r>
        <w:rPr>
          <w:i/>
          <w:color w:val="002060"/>
        </w:rPr>
        <w:t xml:space="preserve">(articles L. 3331-1 à L. 3331-3 du Code de la santé publique) </w:t>
      </w:r>
      <w:r>
        <w:rPr>
          <w:color w:val="002060"/>
        </w:rPr>
        <w:t xml:space="preserve">et vous souhaitez accueillir </w:t>
      </w:r>
      <w:r>
        <w:rPr>
          <w:b/>
          <w:color w:val="002060"/>
          <w:u w:val="thick"/>
        </w:rPr>
        <w:t>au service du bar,</w:t>
      </w:r>
      <w:r>
        <w:rPr>
          <w:b/>
          <w:color w:val="002060"/>
        </w:rPr>
        <w:t xml:space="preserve"> un jeune travailleur ou stagiaire mineur âgé de plus de 16 ans. </w:t>
      </w:r>
      <w:r>
        <w:rPr>
          <w:b/>
          <w:i/>
          <w:color w:val="002060"/>
          <w:highlight w:val="cyan"/>
        </w:rPr>
        <w:t>NB : Depuis la loi n°2018-771 du 5 septembre 2018 pour la liberté de choisir son avenir professionnel, seul l’accueil d’un mineur affecté au service du bar d’un débit de boissons nécessite la délivrance d’un agrément</w:t>
      </w:r>
      <w:r>
        <w:rPr>
          <w:b/>
          <w:i/>
          <w:color w:val="002060"/>
        </w:rPr>
        <w:t xml:space="preserve"> </w:t>
      </w:r>
    </w:p>
    <w:p>
      <w:pPr>
        <w:pStyle w:val="Normal"/>
        <w:spacing w:before="0" w:after="0"/>
        <w:ind w:left="-851" w:right="-851" w:hanging="0"/>
        <w:jc w:val="both"/>
        <w:rPr>
          <w:color w:val="800000"/>
        </w:rPr>
      </w:pPr>
      <w:r>
        <mc:AlternateContent>
          <mc:Choice Requires="wps">
            <w:drawing>
              <wp:anchor behindDoc="1" distT="12700" distB="0" distL="12700" distR="0" simplePos="0" locked="0" layoutInCell="0" allowOverlap="1" relativeHeight="3" wp14:anchorId="63F1161D">
                <wp:simplePos x="0" y="0"/>
                <wp:positionH relativeFrom="column">
                  <wp:posOffset>-642620</wp:posOffset>
                </wp:positionH>
                <wp:positionV relativeFrom="paragraph">
                  <wp:posOffset>-1905</wp:posOffset>
                </wp:positionV>
                <wp:extent cx="7052310" cy="3604260"/>
                <wp:effectExtent l="0" t="0" r="19050" b="1905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680" cy="3603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984807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#ffff99" stroked="t" style="position:absolute;margin-left:-50.6pt;margin-top:-0.15pt;width:555.2pt;height:283.7pt;mso-wrap-style:none;v-text-anchor:middle" wp14:anchorId="63F1161D">
                <v:fill o:detectmouseclick="t" type="solid" color2="#000066"/>
                <v:stroke color="#984807" weight="25560" joinstyle="round" endcap="flat"/>
                <w10:wrap type="none"/>
              </v:rect>
            </w:pict>
          </mc:Fallback>
        </mc:AlternateContent>
      </w:r>
      <w:r>
        <w:rPr>
          <w:color w:val="800000"/>
        </w:rPr>
        <w:t>Les établissements assujettis sont:</w:t>
      </w:r>
    </w:p>
    <w:p>
      <w:pPr>
        <w:pStyle w:val="ListParagraph"/>
        <w:numPr>
          <w:ilvl w:val="0"/>
          <w:numId w:val="1"/>
        </w:numPr>
        <w:spacing w:before="0" w:after="0"/>
        <w:ind w:left="-131" w:right="-851" w:hanging="360"/>
        <w:contextualSpacing/>
        <w:jc w:val="both"/>
        <w:rPr>
          <w:color w:val="800000"/>
        </w:rPr>
      </w:pPr>
      <w:r>
        <w:rPr>
          <w:color w:val="800000"/>
        </w:rPr>
        <w:t>les débits de boissons à con</w:t>
      </w:r>
      <w:bookmarkStart w:id="0" w:name="_GoBack"/>
      <w:bookmarkEnd w:id="0"/>
      <w:r>
        <w:rPr>
          <w:color w:val="800000"/>
        </w:rPr>
        <w:t xml:space="preserve">sommer sur place, titulaires de la </w:t>
      </w:r>
      <w:r>
        <w:rPr>
          <w:b/>
          <w:color w:val="800000"/>
        </w:rPr>
        <w:t>licence de 3</w:t>
      </w:r>
      <w:r>
        <w:rPr>
          <w:b/>
          <w:color w:val="800000"/>
          <w:vertAlign w:val="superscript"/>
        </w:rPr>
        <w:t>ème</w:t>
      </w:r>
      <w:r>
        <w:rPr>
          <w:b/>
          <w:color w:val="800000"/>
        </w:rPr>
        <w:t xml:space="preserve"> ou 4</w:t>
      </w:r>
      <w:r>
        <w:rPr>
          <w:b/>
          <w:color w:val="800000"/>
          <w:vertAlign w:val="superscript"/>
        </w:rPr>
        <w:t>ème</w:t>
      </w:r>
      <w:r>
        <w:rPr>
          <w:b/>
          <w:color w:val="800000"/>
        </w:rPr>
        <w:t xml:space="preserve"> catégorie</w:t>
      </w:r>
      <w:r>
        <w:rPr>
          <w:color w:val="800000"/>
        </w:rPr>
        <w:t>, combinés ou non avec une activité de restauration;</w:t>
      </w:r>
    </w:p>
    <w:p>
      <w:pPr>
        <w:pStyle w:val="ListParagraph"/>
        <w:numPr>
          <w:ilvl w:val="0"/>
          <w:numId w:val="1"/>
        </w:numPr>
        <w:spacing w:before="0" w:after="0"/>
        <w:ind w:left="-131" w:right="-851" w:hanging="360"/>
        <w:contextualSpacing/>
        <w:jc w:val="both"/>
        <w:rPr>
          <w:color w:val="800000"/>
        </w:rPr>
      </w:pPr>
      <w:r>
        <w:rPr>
          <w:color w:val="800000"/>
        </w:rPr>
        <w:t xml:space="preserve">les restaurants titulaires de </w:t>
      </w:r>
      <w:r>
        <w:rPr>
          <w:b/>
          <w:color w:val="800000"/>
        </w:rPr>
        <w:t>la petite licence restaurant</w:t>
      </w:r>
      <w:r>
        <w:rPr>
          <w:color w:val="800000"/>
        </w:rPr>
        <w:t xml:space="preserve"> ou de </w:t>
      </w:r>
      <w:r>
        <w:rPr>
          <w:b/>
          <w:color w:val="800000"/>
        </w:rPr>
        <w:t>la licence restaurant</w:t>
      </w:r>
      <w:r>
        <w:rPr>
          <w:color w:val="800000"/>
        </w:rPr>
        <w:t>;</w:t>
      </w:r>
    </w:p>
    <w:p>
      <w:pPr>
        <w:pStyle w:val="ListParagraph"/>
        <w:numPr>
          <w:ilvl w:val="0"/>
          <w:numId w:val="1"/>
        </w:numPr>
        <w:spacing w:before="0" w:after="0"/>
        <w:ind w:left="-131" w:right="-851" w:hanging="360"/>
        <w:contextualSpacing/>
        <w:jc w:val="both"/>
        <w:rPr>
          <w:color w:val="800000"/>
        </w:rPr>
      </w:pPr>
      <w:r>
        <w:rPr>
          <w:color w:val="800000"/>
        </w:rPr>
        <w:t xml:space="preserve">les débits de boissons </w:t>
      </w:r>
      <w:r>
        <w:rPr>
          <w:b/>
          <w:color w:val="800000"/>
        </w:rPr>
        <w:t>temporaires</w:t>
      </w:r>
      <w:r>
        <w:rPr>
          <w:color w:val="800000"/>
        </w:rPr>
        <w:t xml:space="preserve"> autorisés par le maire.</w:t>
      </w:r>
    </w:p>
    <w:p>
      <w:pPr>
        <w:pStyle w:val="Normal"/>
        <w:spacing w:before="0" w:after="0"/>
        <w:ind w:left="-851" w:right="-851" w:hanging="0"/>
        <w:jc w:val="both"/>
        <w:rPr>
          <w:color w:val="800000"/>
        </w:rPr>
      </w:pPr>
      <w:r>
        <w:rPr>
          <w:color w:val="800000"/>
        </w:rPr>
        <w:t>Les conditions requises à cet emploi ou à cet accueil sont les suivantes:</w:t>
      </w:r>
    </w:p>
    <w:p>
      <w:pPr>
        <w:pStyle w:val="ListParagraph"/>
        <w:numPr>
          <w:ilvl w:val="0"/>
          <w:numId w:val="2"/>
        </w:numPr>
        <w:spacing w:before="0" w:after="0"/>
        <w:ind w:left="-131" w:right="-851" w:hanging="360"/>
        <w:contextualSpacing/>
        <w:jc w:val="both"/>
        <w:rPr>
          <w:color w:val="800000"/>
        </w:rPr>
      </w:pPr>
      <w:r>
        <w:rPr>
          <w:b/>
          <w:color w:val="800000"/>
          <w:u w:val="single"/>
        </w:rPr>
        <w:t>le jeune est âgé de moins de 16 ans</w:t>
      </w:r>
      <w:r>
        <w:rPr>
          <w:color w:val="800000"/>
        </w:rPr>
        <w:t xml:space="preserve">: </w:t>
      </w:r>
      <w:r>
        <w:rPr>
          <w:b/>
          <w:color w:val="800000"/>
        </w:rPr>
        <w:t xml:space="preserve">interdiction d’emploi ou d’accueil </w:t>
      </w:r>
      <w:r>
        <w:rPr>
          <w:b/>
          <w:color w:val="800000"/>
          <w:highlight w:val="cyan"/>
        </w:rPr>
        <w:t>au service du bar</w:t>
      </w:r>
      <w:r>
        <w:rPr>
          <w:b/>
          <w:color w:val="800000"/>
        </w:rPr>
        <w:t xml:space="preserve"> dans les débits de boissons, </w:t>
      </w:r>
      <w:r>
        <w:rPr>
          <w:color w:val="800000"/>
        </w:rPr>
        <w:t xml:space="preserve">de tous les mineurs de moins de 16 ans </w:t>
      </w:r>
      <w:r>
        <w:rPr>
          <w:b/>
          <w:color w:val="800000"/>
        </w:rPr>
        <w:t>quel que soit leur statut</w:t>
      </w:r>
      <w:r>
        <w:rPr>
          <w:color w:val="800000"/>
        </w:rPr>
        <w:t>;</w:t>
      </w:r>
    </w:p>
    <w:p>
      <w:pPr>
        <w:pStyle w:val="ListParagraph"/>
        <w:numPr>
          <w:ilvl w:val="0"/>
          <w:numId w:val="2"/>
        </w:numPr>
        <w:spacing w:before="0" w:after="0"/>
        <w:ind w:left="-131" w:right="-851" w:hanging="360"/>
        <w:contextualSpacing/>
        <w:jc w:val="both"/>
        <w:rPr>
          <w:color w:val="800000"/>
        </w:rPr>
      </w:pPr>
      <w:r>
        <w:rPr>
          <w:b/>
          <w:color w:val="800000"/>
          <w:u w:val="single"/>
        </w:rPr>
        <w:t>le jeune est âgé de plus de 16 ans</w:t>
      </w:r>
      <w:r>
        <w:rPr>
          <w:color w:val="800000"/>
        </w:rPr>
        <w:t xml:space="preserve">: possibilité d’emploi ou d’accueil de mineurs de moins de 18 ans et </w:t>
      </w:r>
      <w:r>
        <w:rPr>
          <w:b/>
          <w:color w:val="800000"/>
        </w:rPr>
        <w:t>de plus de 16 ans</w:t>
      </w:r>
      <w:r>
        <w:rPr>
          <w:color w:val="800000"/>
        </w:rPr>
        <w:t xml:space="preserve"> </w:t>
      </w:r>
      <w:r>
        <w:rPr>
          <w:b/>
          <w:color w:val="800000"/>
          <w:highlight w:val="cyan"/>
        </w:rPr>
        <w:t>au service du bar</w:t>
      </w:r>
      <w:r>
        <w:rPr>
          <w:color w:val="800000"/>
        </w:rPr>
        <w:t xml:space="preserve"> sous réserve que ceux-ci soient embauchés </w:t>
      </w:r>
      <w:r>
        <w:rPr>
          <w:b/>
          <w:color w:val="800000"/>
        </w:rPr>
        <w:t xml:space="preserve">sous contrat d’apprentissage ou sous contrat de professionnalisation </w:t>
      </w:r>
      <w:r>
        <w:rPr>
          <w:color w:val="800000"/>
        </w:rPr>
        <w:t xml:space="preserve">ou pour les jeunes élèves </w:t>
      </w:r>
      <w:r>
        <w:rPr>
          <w:b/>
          <w:color w:val="800000"/>
        </w:rPr>
        <w:t>des lycées professionnels</w:t>
      </w:r>
      <w:r>
        <w:rPr>
          <w:color w:val="800000"/>
        </w:rPr>
        <w:t xml:space="preserve"> de la même tranche d’âge accueillis en entreprise dans le cadre </w:t>
      </w:r>
      <w:r>
        <w:rPr>
          <w:b/>
          <w:color w:val="800000"/>
        </w:rPr>
        <w:t>d’un stage obligatoire inscrit dans le cursus de formation</w:t>
      </w:r>
      <w:r>
        <w:rPr>
          <w:color w:val="800000"/>
        </w:rPr>
        <w:t>; interdiction d’emploi ou d’accueil des mineurs de moins de 18 ans dans les autres cas ;</w:t>
      </w:r>
    </w:p>
    <w:p>
      <w:pPr>
        <w:pStyle w:val="ListParagraph"/>
        <w:numPr>
          <w:ilvl w:val="0"/>
          <w:numId w:val="2"/>
        </w:numPr>
        <w:spacing w:before="0" w:after="0"/>
        <w:ind w:left="-131" w:right="-851" w:hanging="360"/>
        <w:contextualSpacing/>
        <w:jc w:val="both"/>
        <w:rPr>
          <w:color w:val="800000"/>
        </w:rPr>
      </w:pPr>
      <w:r>
        <w:rPr>
          <w:color w:val="800000"/>
        </w:rPr>
        <w:t xml:space="preserve">L’accueil ou l’emploi d’un mineur de plus de 16 ans nécessite l’obtention préalable d’un </w:t>
      </w:r>
      <w:r>
        <w:rPr>
          <w:b/>
          <w:color w:val="800000"/>
        </w:rPr>
        <w:t>agrément</w:t>
      </w:r>
      <w:r>
        <w:rPr>
          <w:color w:val="800000"/>
        </w:rPr>
        <w:t xml:space="preserve"> délivré par le préfet de département ; </w:t>
      </w:r>
      <w:r>
        <w:rPr>
          <w:b/>
          <w:color w:val="800000"/>
        </w:rPr>
        <w:t xml:space="preserve">l’agrément </w:t>
      </w:r>
      <w:r>
        <w:rPr>
          <w:color w:val="800000"/>
        </w:rPr>
        <w:t xml:space="preserve">est requis uniquement pour une affectation du mineur </w:t>
      </w:r>
      <w:r>
        <w:rPr>
          <w:b/>
          <w:color w:val="800000"/>
          <w:highlight w:val="cyan"/>
        </w:rPr>
        <w:t>au service du bar</w:t>
      </w:r>
      <w:r>
        <w:rPr>
          <w:color w:val="800000"/>
        </w:rPr>
        <w:t>.</w:t>
      </w:r>
    </w:p>
    <w:p>
      <w:pPr>
        <w:pStyle w:val="Normal"/>
        <w:spacing w:before="120" w:after="240"/>
        <w:ind w:left="-851" w:right="-851" w:hanging="0"/>
        <w:jc w:val="both"/>
        <w:rPr>
          <w:color w:val="800000"/>
        </w:rPr>
      </w:pPr>
      <w:r>
        <mc:AlternateContent>
          <mc:Choice Requires="wps">
            <w:drawing>
              <wp:anchor behindDoc="1" distT="12700" distB="0" distL="12700" distR="0" simplePos="0" locked="0" layoutInCell="0" allowOverlap="1" relativeHeight="4" wp14:anchorId="068A8AD5">
                <wp:simplePos x="0" y="0"/>
                <wp:positionH relativeFrom="column">
                  <wp:posOffset>-642620</wp:posOffset>
                </wp:positionH>
                <wp:positionV relativeFrom="paragraph">
                  <wp:posOffset>746125</wp:posOffset>
                </wp:positionV>
                <wp:extent cx="7052310" cy="2947035"/>
                <wp:effectExtent l="0" t="0" r="19050" b="28575"/>
                <wp:wrapNone/>
                <wp:docPr id="2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680" cy="2946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215968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#31859c" stroked="t" style="position:absolute;margin-left:-50.6pt;margin-top:58.75pt;width:555.2pt;height:231.95pt;mso-wrap-style:none;v-text-anchor:middle" wp14:anchorId="068A8AD5">
                <v:fill o:detectmouseclick="t" type="solid" color2="#ce7a63"/>
                <v:stroke color="#215968" weight="25560" joinstyle="round" endcap="flat"/>
                <w10:wrap type="none"/>
              </v:rect>
            </w:pict>
          </mc:Fallback>
        </mc:AlternateContent>
      </w:r>
      <w:r>
        <w:rPr>
          <w:color w:val="800000"/>
        </w:rPr>
        <w:t>Ces conditions, y compris l’agrément ne sont pas applicables au jeune qui est soit le conjoint de l’exploitant, soit un parent ou allié jusqu’au 4</w:t>
      </w:r>
      <w:r>
        <w:rPr>
          <w:color w:val="800000"/>
          <w:vertAlign w:val="superscript"/>
        </w:rPr>
        <w:t>ème</w:t>
      </w:r>
      <w:r>
        <w:rPr>
          <w:color w:val="800000"/>
        </w:rPr>
        <w:t xml:space="preserve"> degré inclusivement de l’exploitant (fils ou filles, frères et sœurs, oncles et tantes, cousins et cousines)</w:t>
      </w:r>
    </w:p>
    <w:p>
      <w:pPr>
        <w:pStyle w:val="Normal"/>
        <w:spacing w:before="0" w:after="120"/>
        <w:ind w:left="-851" w:right="-851" w:hanging="0"/>
        <w:jc w:val="both"/>
        <w:rPr>
          <w:color w:val="FFFFFF" w:themeColor="background1"/>
        </w:rPr>
      </w:pPr>
      <w:r>
        <w:rPr>
          <w:b/>
          <w:color w:val="FFFFFF" w:themeColor="background1"/>
        </w:rPr>
        <w:t>La demande d’agrément</w:t>
      </w:r>
      <w:r>
        <w:rPr>
          <w:color w:val="FFFFFF" w:themeColor="background1"/>
        </w:rPr>
        <w:t xml:space="preserve"> doit être adressée par l’exploitant de l’établissement au préfet de département, et par délégation au directeur de la DDETS du Var selon les modalités suivantes :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ind w:left="-136" w:right="-851" w:hanging="357"/>
        <w:contextualSpacing/>
        <w:jc w:val="both"/>
        <w:rPr>
          <w:b/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  <w:u w:val="single"/>
        </w:rPr>
        <w:t>IMPRIMER</w:t>
      </w:r>
      <w:r>
        <w:rPr>
          <w:b/>
          <w:color w:val="FFFFFF" w:themeColor="background1"/>
          <w:sz w:val="24"/>
          <w:szCs w:val="24"/>
        </w:rPr>
        <w:t xml:space="preserve">, </w:t>
      </w:r>
      <w:r>
        <w:rPr>
          <w:b/>
          <w:color w:val="FFFFFF" w:themeColor="background1"/>
          <w:sz w:val="24"/>
          <w:szCs w:val="24"/>
          <w:u w:val="single"/>
        </w:rPr>
        <w:t>RENSEIGNER</w:t>
      </w:r>
      <w:r>
        <w:rPr>
          <w:b/>
          <w:color w:val="FFFFFF" w:themeColor="background1"/>
          <w:sz w:val="24"/>
          <w:szCs w:val="24"/>
        </w:rPr>
        <w:t xml:space="preserve"> et </w:t>
      </w:r>
      <w:r>
        <w:rPr>
          <w:b/>
          <w:color w:val="FFFFFF" w:themeColor="background1"/>
          <w:sz w:val="24"/>
          <w:szCs w:val="24"/>
          <w:u w:val="single"/>
        </w:rPr>
        <w:t>SIGNER</w:t>
      </w:r>
      <w:r>
        <w:rPr>
          <w:b/>
          <w:color w:val="FFFFFF" w:themeColor="background1"/>
          <w:sz w:val="24"/>
          <w:szCs w:val="24"/>
        </w:rPr>
        <w:t xml:space="preserve"> le formulaire de demande d’agrément disponible sur la page internet de la Préfecture du Var à l’adresse suivante : </w:t>
      </w:r>
      <w:hyperlink r:id="rId2">
        <w:r>
          <w:rPr>
            <w:rStyle w:val="LienInternet"/>
            <w:b/>
            <w:color w:val="FFFFFF" w:themeColor="background1"/>
            <w:sz w:val="24"/>
            <w:szCs w:val="24"/>
          </w:rPr>
          <w:t>https://www.var.gouv.fr/les-agrements-des-debits-de-boissons-pour-l-emploi-a11086.html</w:t>
        </w:r>
      </w:hyperlink>
      <w:r>
        <w:rPr>
          <w:rStyle w:val="LienInternet"/>
          <w:b/>
          <w:color w:val="FFFFFF" w:themeColor="background1"/>
          <w:sz w:val="24"/>
          <w:szCs w:val="24"/>
        </w:rPr>
        <w:t xml:space="preserve"> </w:t>
      </w:r>
      <w:r>
        <w:rPr>
          <w:rStyle w:val="LienInternet"/>
          <w:b/>
          <w:color w:val="FF0000"/>
          <w:sz w:val="24"/>
          <w:szCs w:val="24"/>
          <w:shd w:fill="FFFF00" w:val="clear"/>
        </w:rPr>
        <w:t>LIEN A ACTUALISER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-136" w:right="-851" w:hanging="357"/>
        <w:contextualSpacing/>
        <w:jc w:val="both"/>
        <w:rPr>
          <w:b/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  <w:u w:val="single"/>
          <w:shd w:fill="auto" w:val="clear"/>
        </w:rPr>
        <w:t>SCANNER</w:t>
      </w:r>
      <w:r>
        <w:rPr>
          <w:b/>
          <w:color w:val="FFFFFF" w:themeColor="background1"/>
          <w:sz w:val="24"/>
          <w:szCs w:val="24"/>
          <w:shd w:fill="auto" w:val="clear"/>
        </w:rPr>
        <w:t xml:space="preserve"> la demande signée et l’adresser </w:t>
      </w:r>
      <w:r>
        <w:rPr>
          <w:b/>
          <w:color w:val="FFFFFF" w:themeColor="background1"/>
          <w:sz w:val="24"/>
          <w:szCs w:val="24"/>
          <w:u w:val="single"/>
          <w:shd w:fill="auto" w:val="clear"/>
        </w:rPr>
        <w:t>exclusivement</w:t>
      </w:r>
      <w:r>
        <w:rPr>
          <w:b/>
          <w:color w:val="FFFFFF" w:themeColor="background1"/>
          <w:sz w:val="24"/>
          <w:szCs w:val="24"/>
          <w:shd w:fill="auto" w:val="clear"/>
        </w:rPr>
        <w:t xml:space="preserve"> par cou</w:t>
      </w:r>
      <w:r>
        <w:rPr>
          <w:b/>
          <w:color w:val="FFFFFF" w:themeColor="background1"/>
          <w:sz w:val="24"/>
          <w:szCs w:val="24"/>
        </w:rPr>
        <w:t>rriel à :</w:t>
      </w:r>
    </w:p>
    <w:p>
      <w:pPr>
        <w:pStyle w:val="ListParagraph"/>
        <w:spacing w:lineRule="auto" w:line="240" w:before="0" w:after="120"/>
        <w:ind w:left="-136" w:right="-851" w:hanging="0"/>
        <w:contextualSpacing/>
        <w:jc w:val="center"/>
        <w:rPr>
          <w:b/>
          <w:b/>
          <w:color w:val="244061" w:themeColor="accent1" w:themeShade="80"/>
          <w:sz w:val="24"/>
          <w:szCs w:val="24"/>
        </w:rPr>
      </w:pPr>
      <w:r>
        <w:rPr>
          <w:rStyle w:val="LienInternet"/>
          <w:b/>
          <w:color w:val="244061" w:themeColor="accent1" w:themeShade="80"/>
          <w:sz w:val="24"/>
          <w:szCs w:val="24"/>
        </w:rPr>
        <w:t>ddets-agrement-debit-boisson@var.gouv.fr</w:t>
      </w:r>
    </w:p>
    <w:p>
      <w:pPr>
        <w:pStyle w:val="ListParagraph"/>
        <w:numPr>
          <w:ilvl w:val="0"/>
          <w:numId w:val="3"/>
        </w:numPr>
        <w:spacing w:lineRule="auto" w:line="240"/>
        <w:ind w:left="-131" w:right="-851" w:hanging="360"/>
        <w:jc w:val="both"/>
        <w:rPr>
          <w:i/>
          <w:i/>
          <w:color w:val="FFFFFF" w:themeColor="background1"/>
        </w:rPr>
      </w:pPr>
      <w:r>
        <w:rPr>
          <w:i/>
          <w:color w:val="FFFFFF" w:themeColor="background1"/>
        </w:rPr>
        <w:t>Délivrance d’un accusé de réception de la demande par le service instructeur</w:t>
      </w:r>
    </w:p>
    <w:p>
      <w:pPr>
        <w:pStyle w:val="ListParagraph"/>
        <w:numPr>
          <w:ilvl w:val="0"/>
          <w:numId w:val="3"/>
        </w:numPr>
        <w:spacing w:lineRule="auto" w:line="240"/>
        <w:ind w:left="-131" w:right="-851" w:hanging="360"/>
        <w:jc w:val="both"/>
        <w:rPr>
          <w:i/>
          <w:i/>
          <w:color w:val="FFFFFF" w:themeColor="background1"/>
        </w:rPr>
      </w:pPr>
      <w:r>
        <w:rPr>
          <w:i/>
          <w:color w:val="FFFFFF" w:themeColor="background1"/>
        </w:rPr>
        <w:t xml:space="preserve">Agrément délivré </w:t>
      </w:r>
      <w:r>
        <w:rPr>
          <w:b/>
          <w:i/>
          <w:color w:val="FFFFFF" w:themeColor="background1"/>
          <w:u w:val="single"/>
        </w:rPr>
        <w:t>tacitement dans les 2 mois</w:t>
      </w:r>
      <w:r>
        <w:rPr>
          <w:i/>
          <w:color w:val="FFFFFF" w:themeColor="background1"/>
        </w:rPr>
        <w:t xml:space="preserve"> suivant la date de réception par le service </w:t>
      </w:r>
    </w:p>
    <w:p>
      <w:pPr>
        <w:pStyle w:val="ListParagraph"/>
        <w:numPr>
          <w:ilvl w:val="0"/>
          <w:numId w:val="3"/>
        </w:numPr>
        <w:spacing w:lineRule="auto" w:line="240"/>
        <w:ind w:left="-131" w:right="-851" w:hanging="360"/>
        <w:jc w:val="both"/>
        <w:rPr>
          <w:i/>
          <w:i/>
          <w:color w:val="FFFFFF" w:themeColor="background1"/>
        </w:rPr>
      </w:pPr>
      <w:r>
        <w:rPr>
          <w:i/>
          <w:color w:val="FFFFFF" w:themeColor="background1"/>
        </w:rPr>
        <w:t>Agrément délivré pour une durée de cinq ans maximum et renouvelable sur demande expresse et sous les mêmes conditions.</w:t>
      </w:r>
    </w:p>
    <w:p>
      <w:pPr>
        <w:pStyle w:val="ListParagraph"/>
        <w:numPr>
          <w:ilvl w:val="0"/>
          <w:numId w:val="3"/>
        </w:numPr>
        <w:spacing w:lineRule="auto" w:line="240"/>
        <w:ind w:left="-131" w:right="-851" w:hanging="360"/>
        <w:jc w:val="both"/>
        <w:rPr>
          <w:i/>
          <w:i/>
          <w:color w:val="FFFFFF" w:themeColor="background1"/>
        </w:rPr>
      </w:pPr>
      <w:r>
        <w:rPr>
          <w:i/>
          <w:color w:val="FFFFFF" w:themeColor="background1"/>
        </w:rPr>
        <w:t>En cas de changement d’exploitant, une nouvelle demande doit être déposée par le nouvel exploitant du débit de boissons</w:t>
      </w:r>
    </w:p>
    <w:p>
      <w:pPr>
        <w:pStyle w:val="ListParagraph"/>
        <w:numPr>
          <w:ilvl w:val="0"/>
          <w:numId w:val="3"/>
        </w:numPr>
        <w:spacing w:lineRule="auto" w:line="240"/>
        <w:ind w:left="-131" w:right="-851" w:hanging="360"/>
        <w:jc w:val="both"/>
        <w:rPr>
          <w:color w:val="FFFFFF" w:themeColor="background1"/>
        </w:rPr>
      </w:pPr>
      <w:r>
        <w:rPr>
          <w:i/>
          <w:color w:val="FFFFFF" w:themeColor="background1"/>
        </w:rPr>
        <w:t>L’agrément peut être abrogé si les conditions requises pour l’accueil du jeune ne sont plus satisfaites</w:t>
      </w:r>
    </w:p>
    <w:p>
      <w:pPr>
        <w:pStyle w:val="ListParagraph"/>
        <w:numPr>
          <w:ilvl w:val="0"/>
          <w:numId w:val="3"/>
        </w:numPr>
        <w:spacing w:lineRule="auto" w:line="240" w:before="0" w:after="200"/>
        <w:ind w:left="-131" w:right="-851" w:hanging="360"/>
        <w:contextualSpacing/>
        <w:jc w:val="both"/>
        <w:rPr>
          <w:color w:val="FFFFFF" w:themeColor="background1"/>
        </w:rPr>
      </w:pPr>
      <w:r>
        <w:rPr>
          <w:i/>
          <w:color w:val="FFFFFF" w:themeColor="background1"/>
        </w:rPr>
        <w:t>En cas d’urgence, l’agrément peut être suspendu à tout moment par l’autorité administrative</w:t>
      </w:r>
    </w:p>
    <w:sectPr>
      <w:headerReference w:type="first" r:id="rId3"/>
      <w:type w:val="nextPage"/>
      <w:pgSz w:w="11906" w:h="16838"/>
      <w:pgMar w:left="1417" w:right="1417" w:header="284" w:top="186" w:footer="0" w:bottom="42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11340" w:type="dxa"/>
      <w:jc w:val="left"/>
      <w:tblInd w:w="-1026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096"/>
      <w:gridCol w:w="3067"/>
      <w:gridCol w:w="4177"/>
    </w:tblGrid>
    <w:tr>
      <w:trPr/>
      <w:tc>
        <w:tcPr>
          <w:tcW w:w="409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numPr>
              <w:ilvl w:val="0"/>
              <w:numId w:val="0"/>
            </w:numPr>
            <w:tabs>
              <w:tab w:val="clear" w:pos="708"/>
              <w:tab w:val="left" w:pos="1134" w:leader="none"/>
            </w:tabs>
            <w:suppressAutoHyphens w:val="true"/>
            <w:spacing w:lineRule="auto" w:line="240" w:before="0" w:after="0"/>
            <w:ind w:left="0" w:right="-17" w:hanging="0"/>
            <w:jc w:val="both"/>
            <w:outlineLvl w:val="2"/>
            <w:rPr>
              <w:rFonts w:ascii="Arial" w:hAnsi="Arial" w:eastAsia="Times New Roman" w:cs="Arial"/>
              <w:bCs/>
              <w:sz w:val="16"/>
              <w:szCs w:val="24"/>
              <w:lang w:eastAsia="fr-FR"/>
            </w:rPr>
          </w:pPr>
          <w:r>
            <w:rPr>
              <w:rFonts w:eastAsia="Times New Roman" w:cs="Arial" w:ascii="Arial" w:hAnsi="Arial"/>
              <w:bCs/>
              <w:sz w:val="16"/>
              <w:szCs w:val="24"/>
              <w:lang w:eastAsia="fr-FR"/>
            </w:rPr>
          </w:r>
        </w:p>
        <w:p>
          <w:pPr>
            <w:pStyle w:val="Normal"/>
            <w:widowControl w:val="false"/>
            <w:numPr>
              <w:ilvl w:val="0"/>
              <w:numId w:val="0"/>
            </w:numPr>
            <w:tabs>
              <w:tab w:val="clear" w:pos="708"/>
              <w:tab w:val="left" w:pos="1134" w:leader="none"/>
            </w:tabs>
            <w:suppressAutoHyphens w:val="true"/>
            <w:spacing w:lineRule="auto" w:line="240" w:before="0" w:after="0"/>
            <w:ind w:left="0" w:right="-17" w:hanging="0"/>
            <w:jc w:val="both"/>
            <w:outlineLvl w:val="2"/>
            <w:rPr>
              <w:rFonts w:ascii="Arial" w:hAnsi="Arial" w:eastAsia="Times New Roman" w:cs="Arial"/>
              <w:b/>
              <w:b/>
              <w:bCs/>
              <w:sz w:val="16"/>
              <w:szCs w:val="24"/>
              <w:lang w:eastAsia="fr-FR"/>
            </w:rPr>
          </w:pPr>
          <w:r>
            <w:rPr>
              <w:rFonts w:eastAsia="" w:cs="Arial" w:ascii="Arial" w:hAnsi="Arial" w:eastAsiaTheme="minorEastAsia"/>
              <w:b/>
              <w:bCs/>
              <w:kern w:val="0"/>
              <w:sz w:val="16"/>
              <w:szCs w:val="24"/>
              <w:lang w:val="fr-FR" w:eastAsia="fr-FR" w:bidi="ar-SA"/>
            </w:rPr>
            <w:t>Direction départementale de l’emploi, du travail et des solidarités du Var</w:t>
          </w:r>
        </w:p>
        <w:p>
          <w:pPr>
            <w:pStyle w:val="Normal"/>
            <w:widowControl w:val="false"/>
            <w:numPr>
              <w:ilvl w:val="0"/>
              <w:numId w:val="0"/>
            </w:numPr>
            <w:tabs>
              <w:tab w:val="clear" w:pos="708"/>
              <w:tab w:val="left" w:pos="1134" w:leader="none"/>
            </w:tabs>
            <w:suppressAutoHyphens w:val="true"/>
            <w:spacing w:lineRule="auto" w:line="240" w:before="0" w:after="0"/>
            <w:ind w:left="0" w:right="-17" w:hanging="0"/>
            <w:jc w:val="both"/>
            <w:outlineLvl w:val="2"/>
            <w:rPr>
              <w:rFonts w:ascii="Arial" w:hAnsi="Arial" w:eastAsia="Times New Roman" w:cs="Arial"/>
              <w:b/>
              <w:b/>
              <w:bCs/>
              <w:sz w:val="16"/>
              <w:szCs w:val="24"/>
              <w:lang w:eastAsia="fr-FR"/>
            </w:rPr>
          </w:pPr>
          <w:r>
            <w:rPr>
              <w:rFonts w:eastAsia="Times New Roman" w:cs="Arial" w:ascii="Arial" w:hAnsi="Arial"/>
              <w:b/>
              <w:bCs/>
              <w:sz w:val="16"/>
              <w:szCs w:val="24"/>
              <w:lang w:eastAsia="fr-FR"/>
            </w:rPr>
          </w:r>
        </w:p>
        <w:p>
          <w:pPr>
            <w:pStyle w:val="Normal"/>
            <w:keepNext w:val="true"/>
            <w:widowControl w:val="false"/>
            <w:numPr>
              <w:ilvl w:val="0"/>
              <w:numId w:val="0"/>
            </w:numPr>
            <w:tabs>
              <w:tab w:val="clear" w:pos="708"/>
              <w:tab w:val="left" w:pos="1134" w:leader="none"/>
            </w:tabs>
            <w:suppressAutoHyphens w:val="true"/>
            <w:spacing w:lineRule="auto" w:line="240" w:before="0" w:after="0"/>
            <w:ind w:left="0" w:right="-17" w:hanging="0"/>
            <w:jc w:val="both"/>
            <w:outlineLvl w:val="2"/>
            <w:rPr>
              <w:rFonts w:ascii="Times New Roman" w:hAnsi="Times New Roman" w:eastAsia="Times New Roman" w:cs="Times New Roman"/>
              <w:sz w:val="20"/>
              <w:szCs w:val="20"/>
              <w:lang w:eastAsia="fr-FR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  <w:lang w:eastAsia="fr-FR"/>
            </w:rPr>
          </w:r>
        </w:p>
      </w:tc>
      <w:tc>
        <w:tcPr>
          <w:tcW w:w="306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tabs>
              <w:tab w:val="clear" w:pos="708"/>
              <w:tab w:val="center" w:pos="4536" w:leader="none"/>
              <w:tab w:val="center" w:pos="5689" w:leader="none"/>
              <w:tab w:val="right" w:pos="9072" w:leader="none"/>
              <w:tab w:val="left" w:pos="10136" w:leader="none"/>
            </w:tabs>
            <w:suppressAutoHyphens w:val="true"/>
            <w:spacing w:lineRule="auto" w:line="240" w:before="0" w:after="120"/>
            <w:jc w:val="center"/>
            <w:rPr>
              <w:rFonts w:ascii="Arial" w:hAnsi="Arial" w:eastAsia="Times New Roman" w:cs="Arial"/>
              <w:b/>
              <w:b/>
              <w:sz w:val="20"/>
              <w:szCs w:val="20"/>
              <w:lang w:eastAsia="fr-FR"/>
            </w:rPr>
          </w:pPr>
          <w:r>
            <w:rPr/>
            <w:drawing>
              <wp:inline distT="0" distB="0" distL="0" distR="0">
                <wp:extent cx="1104900" cy="666750"/>
                <wp:effectExtent l="0" t="0" r="0" b="0"/>
                <wp:docPr id="3" name="Imag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tabs>
              <w:tab w:val="clear" w:pos="708"/>
              <w:tab w:val="center" w:pos="4536" w:leader="none"/>
              <w:tab w:val="center" w:pos="5689" w:leader="none"/>
              <w:tab w:val="right" w:pos="9072" w:leader="none"/>
              <w:tab w:val="left" w:pos="10136" w:leader="none"/>
            </w:tabs>
            <w:suppressAutoHyphens w:val="true"/>
            <w:spacing w:lineRule="auto" w:line="240" w:before="0" w:after="240"/>
            <w:jc w:val="center"/>
            <w:rPr>
              <w:rFonts w:ascii="Arial" w:hAnsi="Arial" w:eastAsia="Times New Roman" w:cs="Arial"/>
              <w:b/>
              <w:b/>
              <w:sz w:val="20"/>
              <w:szCs w:val="20"/>
              <w:lang w:eastAsia="fr-FR"/>
            </w:rPr>
          </w:pPr>
          <w:r>
            <w:rPr>
              <w:rFonts w:eastAsia="Times New Roman" w:cs="Arial" w:ascii="Arial" w:hAnsi="Arial"/>
              <w:b/>
              <w:kern w:val="0"/>
              <w:sz w:val="20"/>
              <w:szCs w:val="20"/>
              <w:lang w:val="fr-FR" w:eastAsia="fr-FR" w:bidi="ar-SA"/>
            </w:rPr>
            <w:t>PRÉFET DU VAR</w:t>
          </w:r>
        </w:p>
      </w:tc>
      <w:tc>
        <w:tcPr>
          <w:tcW w:w="417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tabs>
              <w:tab w:val="clear" w:pos="708"/>
              <w:tab w:val="center" w:pos="4536" w:leader="none"/>
              <w:tab w:val="center" w:pos="5689" w:leader="none"/>
              <w:tab w:val="right" w:pos="9072" w:leader="none"/>
              <w:tab w:val="left" w:pos="10136" w:leader="none"/>
            </w:tabs>
            <w:suppressAutoHyphens w:val="true"/>
            <w:spacing w:lineRule="auto" w:line="240" w:before="0" w:after="240"/>
            <w:jc w:val="center"/>
            <w:rPr>
              <w:rFonts w:ascii="Times New Roman" w:hAnsi="Times New Roman" w:eastAsia="Times New Roman" w:cs="Times New Roman"/>
              <w:sz w:val="20"/>
              <w:szCs w:val="20"/>
              <w:lang w:eastAsia="fr-FR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  <w:lang w:eastAsia="fr-FR"/>
            </w:rPr>
          </w:r>
        </w:p>
      </w:tc>
    </w:tr>
  </w:tbl>
  <w:p>
    <w:pPr>
      <w:pStyle w:val="Default"/>
      <w:ind w:left="-709" w:right="-709" w:hanging="0"/>
      <w:jc w:val="center"/>
      <w:rPr>
        <w:b/>
        <w:b/>
        <w:bCs/>
        <w:color w:val="002060"/>
        <w:sz w:val="28"/>
        <w:szCs w:val="28"/>
      </w:rPr>
    </w:pPr>
    <w:r>
      <w:rPr>
        <w:b/>
        <w:bCs/>
        <w:color w:val="002060"/>
        <w:sz w:val="28"/>
        <w:szCs w:val="28"/>
      </w:rPr>
      <w:t xml:space="preserve">DEMANDE D’AGRÉMENT POUR L’EMBAUCHE OU L’ACCUEIL </w:t>
    </w:r>
  </w:p>
  <w:p>
    <w:pPr>
      <w:pStyle w:val="Default"/>
      <w:ind w:left="-709" w:right="-709" w:hanging="0"/>
      <w:jc w:val="center"/>
      <w:rPr>
        <w:b/>
        <w:b/>
        <w:bCs/>
        <w:color w:val="002060"/>
        <w:sz w:val="28"/>
        <w:szCs w:val="28"/>
      </w:rPr>
    </w:pPr>
    <w:r>
      <w:rPr>
        <w:b/>
        <w:bCs/>
        <w:color w:val="002060"/>
        <w:sz w:val="28"/>
        <w:szCs w:val="28"/>
      </w:rPr>
      <w:t>DE JEUNES MOINS DE 18 ANS ET DE PLUS DE 16 ANS</w:t>
    </w:r>
  </w:p>
  <w:p>
    <w:pPr>
      <w:pStyle w:val="Default"/>
      <w:ind w:left="-709" w:right="-709" w:hanging="0"/>
      <w:jc w:val="center"/>
      <w:rPr>
        <w:color w:val="002060"/>
        <w:sz w:val="28"/>
        <w:szCs w:val="28"/>
      </w:rPr>
    </w:pPr>
    <w:r>
      <w:rPr>
        <w:b/>
        <w:bCs/>
        <w:color w:val="002060"/>
        <w:sz w:val="28"/>
        <w:szCs w:val="28"/>
        <w:highlight w:val="cyan"/>
      </w:rPr>
      <w:t>AU SERVICE DU BAR</w:t>
    </w:r>
    <w:r>
      <w:rPr>
        <w:b/>
        <w:bCs/>
        <w:color w:val="002060"/>
        <w:sz w:val="28"/>
        <w:szCs w:val="28"/>
      </w:rPr>
      <w:t xml:space="preserve"> DANS LES DÉBITS DE BOISSONS</w:t>
    </w:r>
  </w:p>
  <w:p>
    <w:pPr>
      <w:pStyle w:val="Default"/>
      <w:ind w:left="-709" w:right="-709" w:hanging="0"/>
      <w:jc w:val="center"/>
      <w:rPr>
        <w:color w:val="002060"/>
        <w:sz w:val="23"/>
        <w:szCs w:val="23"/>
      </w:rPr>
    </w:pPr>
    <w:r>
      <w:rPr>
        <w:color w:val="002060"/>
        <w:sz w:val="23"/>
        <w:szCs w:val="23"/>
      </w:rPr>
      <w:t>Articles L.4153-6 et R.4153-8 et s. du Code du travail - Article L.3336-4 du Code de la santé publique</w:t>
    </w:r>
  </w:p>
  <w:p>
    <w:pPr>
      <w:pStyle w:val="Default"/>
      <w:ind w:left="-709" w:right="-709" w:hanging="0"/>
      <w:jc w:val="center"/>
      <w:rPr>
        <w:color w:val="002060"/>
        <w:sz w:val="23"/>
        <w:szCs w:val="23"/>
      </w:rPr>
    </w:pPr>
    <w:r>
      <w:rPr>
        <w:color w:val="002060"/>
        <w:sz w:val="23"/>
        <w:szCs w:val="23"/>
      </w:rPr>
    </w:r>
  </w:p>
  <w:p>
    <w:pPr>
      <w:pStyle w:val="Default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8DB3E2" w:themeFill="text2" w:themeFillTint="66"/>
      <w:ind w:left="-709" w:right="-709" w:hanging="0"/>
      <w:jc w:val="center"/>
      <w:rPr>
        <w:color w:val="002060"/>
        <w:sz w:val="23"/>
        <w:szCs w:val="23"/>
      </w:rPr>
    </w:pPr>
    <w:r>
      <w:rPr>
        <w:b/>
        <w:bCs/>
        <w:color w:val="002060"/>
        <w:sz w:val="28"/>
        <w:szCs w:val="28"/>
      </w:rPr>
      <w:t>NOTICE</w:t>
    </w:r>
  </w:p>
  <w:p>
    <w:pPr>
      <w:pStyle w:val="Default"/>
      <w:ind w:left="-709" w:right="-709" w:hanging="0"/>
      <w:jc w:val="center"/>
      <w:rPr>
        <w:color w:val="002060"/>
        <w:sz w:val="23"/>
        <w:szCs w:val="23"/>
      </w:rPr>
    </w:pPr>
    <w:r>
      <w:rPr>
        <w:color w:val="002060"/>
        <w:sz w:val="23"/>
        <w:szCs w:val="23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-13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-13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2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-13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2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"/>
      <w:lvlJc w:val="left"/>
      <w:pPr>
        <w:tabs>
          <w:tab w:val="num" w:pos="0"/>
        </w:tabs>
        <w:ind w:left="-13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2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134489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134489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34489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897306"/>
    <w:rPr>
      <w:color w:val="0000FF" w:themeColor="hyperlink"/>
      <w:u w:val="single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13448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3448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344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13448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4223a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344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var.gouv.fr/les-agrements-des-debits-de-boissons-pour-l-emploi-a11086.htm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FFA2-9842-4CC7-A78C-34A99B4F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2</Pages>
  <Words>583</Words>
  <Characters>2994</Characters>
  <CharactersWithSpaces>3539</CharactersWithSpaces>
  <Paragraphs>28</Paragraphs>
  <Company>Ministères Chargés des Affaires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2023-02-02T10:25:03Z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